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w:t>
      </w:r>
      <w:r>
        <w:rPr>
          <w:rFonts w:hint="eastAsia" w:ascii="Arial" w:hAnsi="Arial" w:eastAsia="宋体" w:cs="Times New Roman"/>
          <w:b/>
          <w:bCs/>
          <w:sz w:val="24"/>
          <w:szCs w:val="24"/>
          <w:lang w:val="en-US" w:eastAsia="zh-CN"/>
        </w:rPr>
        <w:t>2104927</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Apr</w:t>
      </w:r>
      <w:r>
        <w:rPr>
          <w:rFonts w:ascii="Arial" w:hAnsi="Arial" w:eastAsia="宋体"/>
          <w:b/>
          <w:sz w:val="24"/>
          <w:szCs w:val="24"/>
          <w:lang w:eastAsia="zh-CN"/>
        </w:rPr>
        <w:t>.</w:t>
      </w:r>
      <w:r>
        <w:rPr>
          <w:rFonts w:hint="eastAsia" w:ascii="Arial" w:hAnsi="Arial" w:eastAsia="宋体"/>
          <w:b/>
          <w:sz w:val="24"/>
          <w:szCs w:val="24"/>
          <w:lang w:val="en-US" w:eastAsia="zh-CN"/>
        </w:rPr>
        <w:t>12</w:t>
      </w:r>
      <w:r>
        <w:rPr>
          <w:rFonts w:ascii="Arial" w:hAnsi="Arial" w:eastAsia="宋体"/>
          <w:b/>
          <w:sz w:val="24"/>
          <w:szCs w:val="24"/>
          <w:lang w:eastAsia="zh-CN"/>
        </w:rPr>
        <w:t>-</w:t>
      </w:r>
      <w:r>
        <w:rPr>
          <w:rFonts w:hint="eastAsia" w:ascii="Arial" w:hAnsi="Arial" w:eastAsia="宋体"/>
          <w:b/>
          <w:sz w:val="24"/>
          <w:szCs w:val="24"/>
          <w:lang w:val="en-US" w:eastAsia="zh-CN"/>
        </w:rPr>
        <w:t>Apr</w:t>
      </w:r>
      <w:r>
        <w:rPr>
          <w:rFonts w:ascii="Arial" w:hAnsi="Arial" w:eastAsia="宋体"/>
          <w:b/>
          <w:sz w:val="24"/>
          <w:szCs w:val="24"/>
          <w:lang w:eastAsia="zh-CN"/>
        </w:rPr>
        <w:t>.</w:t>
      </w:r>
      <w:r>
        <w:rPr>
          <w:rFonts w:hint="eastAsia" w:ascii="Arial" w:hAnsi="Arial" w:eastAsia="宋体"/>
          <w:b/>
          <w:sz w:val="24"/>
          <w:szCs w:val="24"/>
          <w:lang w:val="en-US" w:eastAsia="zh-CN"/>
        </w:rPr>
        <w:t>20</w:t>
      </w:r>
      <w:r>
        <w:rPr>
          <w:rFonts w:ascii="Arial" w:hAnsi="Arial" w:eastAsia="宋体"/>
          <w:b/>
          <w:sz w:val="24"/>
          <w:szCs w:val="24"/>
          <w:lang w:eastAsia="zh-CN"/>
        </w:rPr>
        <w:t>,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bookmarkStart w:id="4" w:name="_GoBack"/>
      <w:r>
        <w:rPr>
          <w:rFonts w:hint="eastAsia" w:ascii="Arial" w:hAnsi="Arial" w:eastAsia="宋体" w:cs="Arial"/>
          <w:b/>
          <w:bCs/>
          <w:sz w:val="24"/>
          <w:lang w:val="en-US" w:eastAsia="zh-CN"/>
        </w:rPr>
        <w:t>Discussion on timing requirements for NTN</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8.8.4.2</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default" w:eastAsia="宋体"/>
          <w:sz w:val="22"/>
          <w:lang w:val="en-US" w:eastAsia="zh-CN"/>
        </w:rPr>
      </w:pPr>
      <w:r>
        <w:rPr>
          <w:rFonts w:hint="eastAsia" w:eastAsia="宋体"/>
          <w:sz w:val="22"/>
          <w:lang w:eastAsia="zh-CN"/>
        </w:rPr>
        <w:t>In RAN4 9</w:t>
      </w:r>
      <w:r>
        <w:rPr>
          <w:rFonts w:hint="eastAsia" w:eastAsia="宋体"/>
          <w:sz w:val="22"/>
          <w:lang w:val="en-US" w:eastAsia="zh-CN"/>
        </w:rPr>
        <w:t>8</w:t>
      </w:r>
      <w:r>
        <w:rPr>
          <w:rFonts w:hint="eastAsia" w:eastAsia="宋体"/>
          <w:sz w:val="22"/>
          <w:lang w:eastAsia="zh-CN"/>
        </w:rPr>
        <w:t>-e, NTN RRM requirements</w:t>
      </w:r>
      <w:r>
        <w:rPr>
          <w:rFonts w:hint="eastAsia" w:eastAsia="宋体"/>
          <w:sz w:val="22"/>
          <w:lang w:val="en-US" w:eastAsia="zh-CN"/>
        </w:rPr>
        <w:t xml:space="preserve"> were discussed and WF on </w:t>
      </w:r>
      <w:r>
        <w:rPr>
          <w:rFonts w:hint="eastAsia" w:eastAsia="宋体"/>
          <w:sz w:val="22"/>
          <w:lang w:eastAsia="zh-CN"/>
        </w:rPr>
        <w:t>NR NTN RRM requirements</w:t>
      </w:r>
      <w:r>
        <w:rPr>
          <w:rFonts w:hint="eastAsia" w:eastAsia="宋体"/>
          <w:sz w:val="22"/>
          <w:lang w:val="en-US" w:eastAsia="zh-CN"/>
        </w:rPr>
        <w:t>[1] and NTN RRM timing related requirements[2] were agreed. In this contribution ,we further discuss NTN timing requirements and provide our views.</w:t>
      </w:r>
    </w:p>
    <w:p>
      <w:pPr>
        <w:pStyle w:val="29"/>
        <w:numPr>
          <w:ilvl w:val="0"/>
          <w:numId w:val="6"/>
        </w:numPr>
        <w:jc w:val="both"/>
        <w:rPr>
          <w:rFonts w:hint="eastAsia"/>
          <w:lang w:val="en-US" w:eastAsia="zh-CN"/>
        </w:rPr>
      </w:pPr>
      <w:r>
        <w:rPr>
          <w:rFonts w:hint="eastAsia"/>
          <w:lang w:val="en-US" w:eastAsia="zh-CN"/>
        </w:rPr>
        <w:t>Discussions</w:t>
      </w:r>
    </w:p>
    <w:p>
      <w:pPr>
        <w:widowControl w:val="0"/>
        <w:spacing w:after="0" w:line="240" w:lineRule="auto"/>
        <w:jc w:val="both"/>
        <w:rPr>
          <w:rFonts w:ascii="Times New Roman" w:hAnsi="Times New Roman" w:cs="Times New Roman" w:eastAsiaTheme="minorEastAsia"/>
          <w:b/>
          <w:kern w:val="2"/>
          <w:sz w:val="22"/>
          <w:szCs w:val="22"/>
          <w:u w:val="single"/>
          <w:lang w:val="en-US" w:eastAsia="zh-CN"/>
        </w:rPr>
      </w:pPr>
      <w:r>
        <w:rPr>
          <w:rFonts w:ascii="Times New Roman" w:hAnsi="Times New Roman" w:cs="Times New Roman" w:eastAsiaTheme="minorEastAsia"/>
          <w:b/>
          <w:kern w:val="2"/>
          <w:sz w:val="22"/>
          <w:szCs w:val="22"/>
          <w:u w:val="single"/>
          <w:lang w:val="en-US" w:eastAsia="zh-CN"/>
        </w:rPr>
        <w:t xml:space="preserve">Reference Point </w:t>
      </w:r>
    </w:p>
    <w:p>
      <w:pPr>
        <w:widowControl w:val="0"/>
        <w:spacing w:after="0" w:line="240" w:lineRule="auto"/>
        <w:jc w:val="both"/>
        <w:rPr>
          <w:rFonts w:ascii="Times New Roman" w:hAnsi="Times New Roman" w:cs="Times New Roman" w:eastAsiaTheme="minorEastAsia"/>
          <w:b/>
          <w:kern w:val="2"/>
          <w:sz w:val="20"/>
          <w:szCs w:val="20"/>
          <w:u w:val="single"/>
          <w:lang w:val="en-US" w:eastAsia="zh-CN"/>
        </w:rPr>
      </w:pPr>
    </w:p>
    <w:p>
      <w:pPr>
        <w:rPr>
          <w:rFonts w:hint="default" w:eastAsia="宋体"/>
          <w:sz w:val="22"/>
          <w:lang w:val="en-US" w:eastAsia="zh-CN"/>
        </w:rPr>
      </w:pPr>
      <w:r>
        <w:rPr>
          <w:rFonts w:hint="eastAsia" w:eastAsia="宋体"/>
          <w:sz w:val="22"/>
          <w:lang w:val="en-US" w:eastAsia="zh-CN"/>
        </w:rPr>
        <w:t xml:space="preserve">In [1], the following WF was approved. </w:t>
      </w:r>
    </w:p>
    <w:tbl>
      <w:tblPr>
        <w:tblStyle w:val="23"/>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shd w:val="clear" w:color="auto" w:fill="auto"/>
          </w:tcPr>
          <w:p>
            <w:pPr>
              <w:pStyle w:val="9"/>
              <w:numPr>
                <w:ilvl w:val="0"/>
                <w:numId w:val="0"/>
              </w:numPr>
              <w:rPr>
                <w:rFonts w:hint="default" w:ascii="Times New Roman" w:hAnsi="Times New Roman" w:cs="Times New Roman"/>
                <w:sz w:val="18"/>
                <w:szCs w:val="18"/>
                <w:lang w:val="en-US" w:eastAsia="ko-KR"/>
              </w:rPr>
            </w:pPr>
            <w:r>
              <w:rPr>
                <w:rFonts w:hint="default" w:ascii="Times New Roman" w:hAnsi="Times New Roman" w:cs="Times New Roman"/>
                <w:sz w:val="18"/>
                <w:szCs w:val="18"/>
                <w:lang w:val="en-US" w:eastAsia="ko-KR"/>
              </w:rPr>
              <w:t>Sub-topic 1-1: RP to be considered for time and frequency synchronization</w:t>
            </w:r>
          </w:p>
          <w:p>
            <w:pPr>
              <w:pStyle w:val="9"/>
              <w:numPr>
                <w:ilvl w:val="0"/>
                <w:numId w:val="7"/>
              </w:numPr>
              <w:ind w:left="420" w:leftChars="0" w:hanging="420" w:firstLineChars="0"/>
              <w:rPr>
                <w:rFonts w:hint="default" w:ascii="Times New Roman" w:hAnsi="Times New Roman" w:cs="Times New Roman"/>
                <w:sz w:val="18"/>
                <w:szCs w:val="18"/>
                <w:lang w:val="en-US" w:eastAsia="ko-KR"/>
              </w:rPr>
            </w:pPr>
            <w:r>
              <w:rPr>
                <w:rFonts w:hint="default" w:ascii="Times New Roman" w:hAnsi="Times New Roman" w:cs="Times New Roman"/>
                <w:sz w:val="18"/>
                <w:szCs w:val="18"/>
                <w:lang w:val="en-US" w:eastAsia="ko-KR"/>
              </w:rPr>
              <w:t>Issue 1-1: Send information LS to RAN1</w:t>
            </w:r>
          </w:p>
          <w:p>
            <w:pPr>
              <w:pStyle w:val="9"/>
              <w:numPr>
                <w:ilvl w:val="1"/>
                <w:numId w:val="7"/>
              </w:numPr>
              <w:ind w:left="840" w:leftChars="0" w:hanging="420" w:firstLineChars="0"/>
              <w:rPr>
                <w:rFonts w:hint="default" w:ascii="Times New Roman" w:hAnsi="Times New Roman" w:cs="Times New Roman"/>
                <w:sz w:val="18"/>
                <w:szCs w:val="18"/>
                <w:lang w:val="en-US" w:eastAsia="ko-KR"/>
              </w:rPr>
            </w:pPr>
            <w:r>
              <w:rPr>
                <w:rFonts w:hint="default" w:ascii="Times New Roman" w:hAnsi="Times New Roman" w:cs="Times New Roman"/>
                <w:sz w:val="18"/>
                <w:szCs w:val="18"/>
                <w:lang w:val="en-US" w:eastAsia="ko-KR"/>
              </w:rPr>
              <w:t>Defer the LS. Further discuss the impacts of different reference points on RRM requirements and inform RAN1 in case any common observations are identified.</w:t>
            </w:r>
          </w:p>
          <w:p>
            <w:pPr>
              <w:pStyle w:val="9"/>
              <w:numPr>
                <w:ilvl w:val="0"/>
                <w:numId w:val="7"/>
              </w:numPr>
              <w:ind w:left="420" w:leftChars="0" w:hanging="420" w:firstLineChars="0"/>
              <w:rPr>
                <w:rFonts w:hint="default" w:ascii="Times New Roman" w:hAnsi="Times New Roman" w:cs="Times New Roman"/>
                <w:sz w:val="18"/>
                <w:szCs w:val="18"/>
                <w:lang w:val="en-US" w:eastAsia="ko-KR"/>
              </w:rPr>
            </w:pPr>
            <w:r>
              <w:rPr>
                <w:rFonts w:hint="default" w:ascii="Times New Roman" w:hAnsi="Times New Roman" w:cs="Times New Roman"/>
                <w:sz w:val="18"/>
                <w:szCs w:val="18"/>
                <w:lang w:val="en-US" w:eastAsia="ko-KR"/>
              </w:rPr>
              <w:t>Issue 1-2: Possibility of using satellite and gNB as time and frequency reference</w:t>
            </w:r>
          </w:p>
          <w:p>
            <w:pPr>
              <w:pStyle w:val="9"/>
              <w:numPr>
                <w:ilvl w:val="1"/>
                <w:numId w:val="7"/>
              </w:numPr>
              <w:ind w:left="840" w:leftChars="0" w:hanging="420" w:firstLineChars="0"/>
              <w:rPr>
                <w:rFonts w:asciiTheme="minorAscii"/>
                <w:lang w:val="en-US" w:eastAsia="ko-KR"/>
              </w:rPr>
            </w:pPr>
            <w:r>
              <w:rPr>
                <w:rFonts w:hint="default" w:ascii="Times New Roman" w:hAnsi="Times New Roman" w:cs="Times New Roman"/>
                <w:sz w:val="18"/>
                <w:szCs w:val="18"/>
                <w:lang w:val="en-US" w:eastAsia="ko-KR"/>
              </w:rPr>
              <w:t>Further investigate the impact of different timing and frequency reference points based on RAN1 design on the RRM requirements. Inform RAN1 if any issues are identified.</w:t>
            </w:r>
          </w:p>
        </w:tc>
      </w:tr>
    </w:tbl>
    <w:p>
      <w:pPr>
        <w:rPr>
          <w:rFonts w:hint="default" w:eastAsia="宋体"/>
          <w:sz w:val="22"/>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ind w:left="0" w:right="420" w:firstLine="0"/>
        <w:jc w:val="left"/>
        <w:rPr>
          <w:rFonts w:hint="eastAsia" w:eastAsia="宋体"/>
          <w:sz w:val="22"/>
          <w:lang w:val="en-US" w:eastAsia="zh-CN"/>
        </w:rPr>
      </w:pPr>
      <w:r>
        <w:rPr>
          <w:rFonts w:hint="eastAsia" w:eastAsia="宋体"/>
          <w:sz w:val="22"/>
          <w:lang w:val="en-US" w:eastAsia="zh-CN"/>
        </w:rPr>
        <w:t xml:space="preserve">The point where the alignment of DL and UL achieved is referred as reference point (RP) in NTN related discussion. The reference point could be gNB or satellite in NTN system. </w:t>
      </w:r>
    </w:p>
    <w:p>
      <w:pPr>
        <w:keepNext w:val="0"/>
        <w:keepLines w:val="0"/>
        <w:pageBreakBefore w:val="0"/>
        <w:widowControl/>
        <w:kinsoku/>
        <w:wordWrap/>
        <w:overflowPunct/>
        <w:topLinePunct w:val="0"/>
        <w:autoSpaceDE/>
        <w:autoSpaceDN/>
        <w:bidi w:val="0"/>
        <w:adjustRightInd/>
        <w:snapToGrid/>
        <w:spacing w:before="181" w:beforeLines="50" w:line="260" w:lineRule="auto"/>
        <w:textAlignment w:val="auto"/>
        <w:rPr>
          <w:rFonts w:hint="default" w:eastAsia="宋体"/>
          <w:sz w:val="22"/>
          <w:lang w:val="en-US" w:eastAsia="zh-CN"/>
        </w:rPr>
      </w:pPr>
      <w:r>
        <w:rPr>
          <w:rFonts w:hint="eastAsia" w:eastAsia="宋体"/>
          <w:sz w:val="22"/>
          <w:lang w:val="en-US" w:eastAsia="zh-CN"/>
        </w:rPr>
        <w:t xml:space="preserve">In the current TN system, TA mechanism is performed to control different uplink transmissions arriving at gNB within CP length, which means DL and UL are aligned at gNB.  </w:t>
      </w:r>
    </w:p>
    <w:p>
      <w:pPr>
        <w:keepNext w:val="0"/>
        <w:keepLines w:val="0"/>
        <w:pageBreakBefore w:val="0"/>
        <w:widowControl/>
        <w:kinsoku/>
        <w:wordWrap/>
        <w:overflowPunct/>
        <w:topLinePunct w:val="0"/>
        <w:autoSpaceDE/>
        <w:autoSpaceDN/>
        <w:bidi w:val="0"/>
        <w:adjustRightInd/>
        <w:snapToGrid/>
        <w:spacing w:before="181" w:beforeLines="50" w:line="260" w:lineRule="auto"/>
        <w:textAlignment w:val="auto"/>
        <w:rPr>
          <w:rFonts w:hint="default" w:eastAsia="宋体"/>
          <w:sz w:val="22"/>
          <w:lang w:val="en-US" w:eastAsia="zh-CN"/>
        </w:rPr>
      </w:pPr>
      <w:r>
        <w:rPr>
          <w:rFonts w:hint="eastAsia" w:eastAsia="宋体"/>
          <w:sz w:val="22"/>
          <w:lang w:val="en-US" w:eastAsia="zh-CN"/>
        </w:rPr>
        <w:t xml:space="preserve">According to [3], </w:t>
      </w:r>
      <w:r>
        <w:rPr>
          <w:rFonts w:hint="eastAsia" w:eastAsia="宋体"/>
          <w:sz w:val="22"/>
          <w:lang w:val="en-US" w:eastAsia="zh-TW"/>
        </w:rPr>
        <w:t>Rel-17 NR-NTN</w:t>
      </w:r>
      <w:r>
        <w:rPr>
          <w:rFonts w:hint="eastAsia" w:eastAsia="宋体"/>
          <w:sz w:val="22"/>
          <w:lang w:val="en-US" w:eastAsia="zh-CN"/>
        </w:rPr>
        <w:t xml:space="preserve"> focuses on transparent payload based scenarios, which needs to consider propagation delay of both the service link and the feeder link. The propagation delay of the feeder link changes with the moving of the satellite and the switch of the feeder link. If the RP is located at the satellite, gNB is required to handle the variation of DL and UL slot boundary timing, which impacts the existing </w:t>
      </w:r>
      <w:r>
        <w:t>NR</w:t>
      </w:r>
      <w:r>
        <w:rPr>
          <w:rFonts w:hint="eastAsia" w:eastAsia="宋体"/>
          <w:sz w:val="22"/>
          <w:lang w:val="en-US" w:eastAsia="zh-CN"/>
        </w:rPr>
        <w:t xml:space="preserve"> timing relationships.</w:t>
      </w:r>
    </w:p>
    <w:p>
      <w:pPr>
        <w:rPr>
          <w:rFonts w:hint="default" w:eastAsia="宋体"/>
          <w:sz w:val="22"/>
          <w:lang w:val="en-US" w:eastAsia="zh-CN"/>
        </w:rPr>
      </w:pPr>
      <w:r>
        <w:rPr>
          <w:rFonts w:hint="eastAsia" w:eastAsia="宋体"/>
          <w:sz w:val="22"/>
          <w:lang w:val="en-US" w:eastAsia="zh-CN"/>
        </w:rPr>
        <w:t>It</w:t>
      </w:r>
      <w:r>
        <w:rPr>
          <w:rFonts w:hint="default" w:eastAsia="宋体"/>
          <w:sz w:val="22"/>
          <w:lang w:val="en-US" w:eastAsia="zh-CN"/>
        </w:rPr>
        <w:t>’</w:t>
      </w:r>
      <w:r>
        <w:rPr>
          <w:rFonts w:hint="eastAsia" w:eastAsia="宋体"/>
          <w:sz w:val="22"/>
          <w:lang w:val="en-US" w:eastAsia="zh-CN"/>
        </w:rPr>
        <w:t>s reasonable to keep</w:t>
      </w:r>
      <w:r>
        <w:rPr>
          <w:rFonts w:hint="default" w:eastAsia="宋体"/>
          <w:sz w:val="22"/>
          <w:lang w:val="en-US" w:eastAsia="zh-CN"/>
        </w:rPr>
        <w:t> consistent</w:t>
      </w:r>
      <w:r>
        <w:rPr>
          <w:rFonts w:hint="eastAsia" w:eastAsia="宋体"/>
          <w:sz w:val="22"/>
          <w:lang w:val="en-US" w:eastAsia="zh-CN"/>
        </w:rPr>
        <w:t xml:space="preserve"> with the current NR baseline about TA mechanism to avoid additional specification impact and implementation complexity. It will also benefit the discussion about RRM requirements of NTN system.</w:t>
      </w:r>
    </w:p>
    <w:p>
      <w:pPr>
        <w:rPr>
          <w:rFonts w:hint="eastAsia" w:eastAsia="宋体"/>
          <w:b/>
          <w:bCs/>
          <w:sz w:val="22"/>
          <w:lang w:val="en-US" w:eastAsia="zh-CN"/>
        </w:rPr>
      </w:pPr>
      <w:r>
        <w:rPr>
          <w:rFonts w:hint="eastAsia" w:eastAsia="宋体"/>
          <w:b/>
          <w:bCs/>
          <w:sz w:val="22"/>
          <w:lang w:val="en-US" w:eastAsia="zh-CN"/>
        </w:rPr>
        <w:t xml:space="preserve">Observation 1: It is observed that reference point placed at gNB is </w:t>
      </w:r>
      <w:r>
        <w:rPr>
          <w:rFonts w:hint="default" w:eastAsia="宋体"/>
          <w:b/>
          <w:bCs/>
          <w:sz w:val="22"/>
          <w:lang w:val="en-US" w:eastAsia="zh-CN"/>
        </w:rPr>
        <w:t>consistent</w:t>
      </w:r>
      <w:r>
        <w:rPr>
          <w:rFonts w:hint="eastAsia" w:eastAsia="宋体"/>
          <w:b/>
          <w:bCs/>
          <w:sz w:val="22"/>
          <w:lang w:val="en-US" w:eastAsia="zh-CN"/>
        </w:rPr>
        <w:t xml:space="preserve"> with the current NR baseline of TA mechanism. </w:t>
      </w:r>
    </w:p>
    <w:p>
      <w:pPr>
        <w:rPr>
          <w:rFonts w:hint="default" w:eastAsia="宋体"/>
          <w:b/>
          <w:bCs/>
          <w:sz w:val="22"/>
          <w:lang w:val="en-US" w:eastAsia="zh-CN"/>
        </w:rPr>
      </w:pPr>
      <w:r>
        <w:rPr>
          <w:rFonts w:hint="eastAsia" w:eastAsia="宋体"/>
          <w:b/>
          <w:bCs/>
          <w:sz w:val="22"/>
          <w:lang w:val="en-US" w:eastAsia="zh-CN"/>
        </w:rPr>
        <w:t>Observation 2: Reference point placed at gNB could minimize the specification impact and BS implementation complexity.</w:t>
      </w:r>
    </w:p>
    <w:p>
      <w:pPr>
        <w:rPr>
          <w:rFonts w:hint="default" w:eastAsia="宋体"/>
          <w:b/>
          <w:bCs/>
          <w:sz w:val="22"/>
          <w:lang w:val="en-US" w:eastAsia="zh-CN"/>
        </w:rPr>
      </w:pPr>
      <w:r>
        <w:rPr>
          <w:rFonts w:hint="eastAsia" w:eastAsia="宋体"/>
          <w:b/>
          <w:bCs/>
          <w:sz w:val="22"/>
          <w:lang w:val="en-US" w:eastAsia="zh-CN"/>
        </w:rPr>
        <w:t xml:space="preserve">Proposal 1: Reference point at gNB is supported as the baseline for RAN4 to investigate the impact on RRM requirements of NTN system. </w:t>
      </w:r>
    </w:p>
    <w:p>
      <w:pPr>
        <w:widowControl w:val="0"/>
        <w:spacing w:after="0" w:line="240" w:lineRule="auto"/>
        <w:jc w:val="both"/>
        <w:rPr>
          <w:rFonts w:ascii="Times New Roman" w:hAnsi="Times New Roman" w:cs="Times New Roman" w:eastAsiaTheme="minorEastAsia"/>
          <w:b/>
          <w:kern w:val="2"/>
          <w:sz w:val="20"/>
          <w:szCs w:val="20"/>
          <w:u w:val="single"/>
          <w:lang w:val="en-US" w:eastAsia="zh-CN"/>
        </w:rPr>
      </w:pPr>
    </w:p>
    <w:p>
      <w:pPr>
        <w:widowControl w:val="0"/>
        <w:spacing w:after="0" w:line="240" w:lineRule="auto"/>
        <w:jc w:val="both"/>
        <w:rPr>
          <w:rFonts w:ascii="Times New Roman" w:hAnsi="Times New Roman" w:cs="Times New Roman" w:eastAsiaTheme="minorEastAsia"/>
          <w:b/>
          <w:kern w:val="2"/>
          <w:sz w:val="22"/>
          <w:szCs w:val="22"/>
          <w:u w:val="single"/>
          <w:lang w:val="en-US" w:eastAsia="zh-CN"/>
        </w:rPr>
      </w:pPr>
      <w:r>
        <w:rPr>
          <w:rFonts w:ascii="Times New Roman" w:hAnsi="Times New Roman" w:cs="Times New Roman" w:eastAsiaTheme="minorEastAsia"/>
          <w:b/>
          <w:kern w:val="2"/>
          <w:sz w:val="22"/>
          <w:szCs w:val="22"/>
          <w:u w:val="single"/>
          <w:lang w:val="en-US" w:eastAsia="zh-CN"/>
        </w:rPr>
        <w:t>Timing advance</w:t>
      </w:r>
    </w:p>
    <w:p>
      <w:pPr>
        <w:rPr>
          <w:rFonts w:hint="eastAsia" w:eastAsia="宋体"/>
          <w:sz w:val="22"/>
          <w:lang w:val="en-US" w:eastAsia="zh-CN"/>
        </w:rPr>
      </w:pPr>
    </w:p>
    <w:p>
      <w:pPr>
        <w:rPr>
          <w:rFonts w:hint="eastAsia" w:eastAsia="宋体"/>
          <w:sz w:val="22"/>
          <w:lang w:val="en-US" w:eastAsia="zh-CN"/>
        </w:rPr>
      </w:pPr>
      <w:r>
        <w:rPr>
          <w:rFonts w:hint="eastAsia" w:eastAsia="宋体"/>
          <w:sz w:val="22"/>
          <w:lang w:val="en-US" w:eastAsia="zh-CN"/>
        </w:rPr>
        <w:t xml:space="preserve">RAN1 Agreements in RAN1#103-e and #104-e[4] on UL </w:t>
      </w:r>
      <w:r>
        <w:rPr>
          <w:rFonts w:eastAsia="宋体"/>
          <w:sz w:val="22"/>
          <w:lang w:val="en-US" w:eastAsia="zh-CN"/>
        </w:rPr>
        <w:t>time synchronization</w:t>
      </w:r>
      <w:r>
        <w:rPr>
          <w:rFonts w:hint="eastAsia" w:eastAsia="宋体"/>
          <w:sz w:val="22"/>
          <w:lang w:val="en-US" w:eastAsia="zh-CN"/>
        </w:rPr>
        <w:t>:</w:t>
      </w:r>
    </w:p>
    <w:p>
      <w:pPr>
        <w:pBdr>
          <w:top w:val="single" w:color="auto" w:sz="4" w:space="0"/>
          <w:left w:val="single" w:color="auto" w:sz="4" w:space="0"/>
          <w:bottom w:val="single" w:color="auto" w:sz="4" w:space="0"/>
          <w:right w:val="single" w:color="auto" w:sz="4" w:space="0"/>
        </w:pBdr>
        <w:rPr>
          <w:b/>
          <w:bCs/>
          <w:sz w:val="22"/>
          <w:szCs w:val="22"/>
          <w:shd w:val="clear" w:color="auto" w:fill="auto"/>
        </w:rPr>
      </w:pPr>
      <w:r>
        <w:rPr>
          <w:b/>
          <w:bCs/>
          <w:sz w:val="22"/>
          <w:szCs w:val="22"/>
          <w:shd w:val="clear" w:color="auto" w:fill="auto"/>
        </w:rPr>
        <w:t>Agreement</w:t>
      </w:r>
      <w:r>
        <w:rPr>
          <w:rFonts w:hint="eastAsia"/>
          <w:b/>
          <w:bCs/>
          <w:sz w:val="22"/>
          <w:szCs w:val="22"/>
          <w:shd w:val="clear" w:color="auto" w:fill="auto"/>
          <w:lang w:val="en-US" w:eastAsia="zh-CN"/>
        </w:rPr>
        <w:t xml:space="preserve"> on #103-e</w:t>
      </w:r>
      <w:r>
        <w:rPr>
          <w:b/>
          <w:bCs/>
          <w:sz w:val="22"/>
          <w:szCs w:val="22"/>
          <w:shd w:val="clear" w:color="auto" w:fill="auto"/>
        </w:rPr>
        <w:t>:</w:t>
      </w:r>
    </w:p>
    <w:p>
      <w:pPr>
        <w:pBdr>
          <w:top w:val="single" w:color="auto" w:sz="4" w:space="0"/>
          <w:left w:val="single" w:color="auto" w:sz="4" w:space="0"/>
          <w:bottom w:val="single" w:color="auto" w:sz="4" w:space="0"/>
          <w:right w:val="single" w:color="auto" w:sz="4" w:space="0"/>
        </w:pBdr>
        <w:rPr>
          <w:rFonts w:hint="eastAsia"/>
          <w:sz w:val="22"/>
          <w:szCs w:val="22"/>
          <w:shd w:val="clear" w:color="auto" w:fill="auto"/>
          <w:lang w:val="en-US" w:eastAsia="zh-CN"/>
        </w:rPr>
      </w:pPr>
      <w:r>
        <w:rPr>
          <w:rFonts w:hint="eastAsia"/>
          <w:sz w:val="22"/>
          <w:szCs w:val="22"/>
          <w:shd w:val="clear" w:color="auto" w:fill="auto"/>
          <w:lang w:val="en-US" w:eastAsia="zh-CN"/>
        </w:rPr>
        <w:t>An NTN UE in RRC_IDLE and RRC_INACTIVE states is required to at least support UE specific TA calculation based at least on its GNSS-acquired position and the serving satellite ephemeris.</w:t>
      </w:r>
    </w:p>
    <w:p>
      <w:pPr>
        <w:pBdr>
          <w:top w:val="single" w:color="auto" w:sz="4" w:space="0"/>
          <w:left w:val="single" w:color="auto" w:sz="4" w:space="0"/>
          <w:bottom w:val="single" w:color="auto" w:sz="4" w:space="0"/>
          <w:right w:val="single" w:color="auto" w:sz="4" w:space="0"/>
        </w:pBdr>
        <w:rPr>
          <w:b/>
          <w:bCs/>
          <w:sz w:val="22"/>
          <w:szCs w:val="22"/>
          <w:shd w:val="clear" w:color="auto" w:fill="auto"/>
        </w:rPr>
      </w:pPr>
      <w:r>
        <w:rPr>
          <w:b/>
          <w:bCs/>
          <w:sz w:val="22"/>
          <w:szCs w:val="22"/>
          <w:shd w:val="clear" w:color="auto" w:fill="auto"/>
        </w:rPr>
        <w:t>Agreement</w:t>
      </w:r>
      <w:r>
        <w:rPr>
          <w:rFonts w:hint="eastAsia"/>
          <w:b/>
          <w:bCs/>
          <w:sz w:val="22"/>
          <w:szCs w:val="22"/>
          <w:shd w:val="clear" w:color="auto" w:fill="auto"/>
          <w:lang w:val="en-US" w:eastAsia="zh-CN"/>
        </w:rPr>
        <w:t xml:space="preserve"> on #104-e</w:t>
      </w:r>
      <w:r>
        <w:rPr>
          <w:b/>
          <w:bCs/>
          <w:sz w:val="22"/>
          <w:szCs w:val="22"/>
          <w:shd w:val="clear" w:color="auto" w:fill="auto"/>
        </w:rPr>
        <w:t>:</w:t>
      </w:r>
    </w:p>
    <w:p>
      <w:pPr>
        <w:pBdr>
          <w:top w:val="single" w:color="auto" w:sz="4" w:space="0"/>
          <w:left w:val="single" w:color="auto" w:sz="4" w:space="0"/>
          <w:bottom w:val="single" w:color="auto" w:sz="4" w:space="0"/>
          <w:right w:val="single" w:color="auto" w:sz="4" w:space="0"/>
        </w:pBdr>
        <w:rPr>
          <w:sz w:val="22"/>
          <w:szCs w:val="22"/>
          <w:shd w:val="clear" w:color="auto" w:fill="auto"/>
        </w:rPr>
      </w:pPr>
      <w:r>
        <w:rPr>
          <w:sz w:val="22"/>
          <w:szCs w:val="22"/>
          <w:shd w:val="clear" w:color="auto" w:fill="auto"/>
        </w:rPr>
        <w:t>An NTN UE in RRC_CONNECTED state is required to support UE specific TA calculation based at least on its GNSS-acquired position and the serving satellite ephemeris.</w:t>
      </w:r>
    </w:p>
    <w:p>
      <w:pPr>
        <w:pBdr>
          <w:top w:val="single" w:color="auto" w:sz="4" w:space="0"/>
          <w:left w:val="single" w:color="auto" w:sz="4" w:space="0"/>
          <w:bottom w:val="single" w:color="auto" w:sz="4" w:space="0"/>
          <w:right w:val="single" w:color="auto" w:sz="4" w:space="0"/>
        </w:pBdr>
        <w:rPr>
          <w:rFonts w:hint="eastAsia"/>
          <w:sz w:val="22"/>
          <w:szCs w:val="22"/>
          <w:shd w:val="clear" w:color="auto" w:fill="auto"/>
          <w:lang w:val="en-US" w:eastAsia="zh-CN"/>
        </w:rPr>
      </w:pPr>
      <w:r>
        <w:rPr>
          <w:sz w:val="22"/>
          <w:szCs w:val="22"/>
          <w:shd w:val="clear" w:color="auto" w:fill="auto"/>
        </w:rPr>
        <w:t>FFS: Operation of closed loop and open loop TA control</w:t>
      </w:r>
    </w:p>
    <w:p>
      <w:pPr>
        <w:keepNext w:val="0"/>
        <w:keepLines w:val="0"/>
        <w:pageBreakBefore w:val="0"/>
        <w:widowControl/>
        <w:kinsoku/>
        <w:wordWrap/>
        <w:overflowPunct/>
        <w:topLinePunct w:val="0"/>
        <w:autoSpaceDE/>
        <w:autoSpaceDN/>
        <w:bidi w:val="0"/>
        <w:adjustRightInd/>
        <w:snapToGrid/>
        <w:spacing w:before="181" w:beforeLines="50" w:line="260" w:lineRule="auto"/>
        <w:textAlignment w:val="auto"/>
        <w:rPr>
          <w:rFonts w:hint="eastAsia" w:eastAsia="宋体"/>
          <w:sz w:val="22"/>
          <w:lang w:val="en-US" w:eastAsia="zh-CN"/>
        </w:rPr>
      </w:pPr>
      <w:r>
        <w:rPr>
          <w:rFonts w:hint="eastAsia" w:eastAsia="宋体"/>
          <w:sz w:val="22"/>
          <w:lang w:val="en-US" w:eastAsia="zh-CN"/>
        </w:rPr>
        <w:t xml:space="preserve">These agreements above imply that UE specific TA calculation should be supported default by UE with GNSS capability. The accuracy of UE specific TA calculation was impacted by the accuracy of GNSS positioning , the accuracy of satellite ephemeris , the signaling granularity, period of signaling,etc.. </w:t>
      </w:r>
    </w:p>
    <w:p>
      <w:pPr>
        <w:keepNext w:val="0"/>
        <w:keepLines w:val="0"/>
        <w:pageBreakBefore w:val="0"/>
        <w:widowControl/>
        <w:kinsoku/>
        <w:wordWrap/>
        <w:overflowPunct/>
        <w:topLinePunct w:val="0"/>
        <w:autoSpaceDE/>
        <w:autoSpaceDN/>
        <w:bidi w:val="0"/>
        <w:adjustRightInd/>
        <w:snapToGrid/>
        <w:spacing w:before="181" w:beforeLines="50" w:line="260" w:lineRule="auto"/>
        <w:textAlignment w:val="auto"/>
        <w:rPr>
          <w:rFonts w:hint="eastAsia" w:eastAsia="宋体"/>
          <w:sz w:val="22"/>
          <w:lang w:val="en-US" w:eastAsia="zh-CN"/>
        </w:rPr>
      </w:pPr>
      <w:r>
        <w:rPr>
          <w:rFonts w:hint="eastAsia" w:eastAsia="宋体"/>
          <w:sz w:val="22"/>
          <w:lang w:val="en-US" w:eastAsia="zh-CN"/>
        </w:rPr>
        <w:t xml:space="preserve">UE specific TA calculation is used for UE to perform UL pre-compensation for initial access and UL transmission in connected state. For UE initial transmission, timing error shall be less than or equal to </w:t>
      </w:r>
      <w:r>
        <w:rPr>
          <w:rFonts w:hint="eastAsia" w:eastAsia="宋体"/>
          <w:sz w:val="22"/>
          <w:lang w:val="en-US" w:eastAsia="zh-CN"/>
        </w:rPr>
        <w:sym w:font="Symbol" w:char="F0B1"/>
      </w:r>
      <w:r>
        <w:rPr>
          <w:rFonts w:hint="eastAsia" w:eastAsia="宋体"/>
          <w:sz w:val="22"/>
          <w:lang w:val="en-US" w:eastAsia="zh-CN"/>
        </w:rPr>
        <w:t xml:space="preserve">Te. For UL transmission in connected state, UE performs gradual timing adjustment to adjust  timing to within </w:t>
      </w:r>
      <w:r>
        <w:rPr>
          <w:rFonts w:hint="eastAsia" w:eastAsia="宋体"/>
          <w:sz w:val="22"/>
          <w:lang w:val="en-US" w:eastAsia="zh-CN"/>
        </w:rPr>
        <w:sym w:font="Symbol" w:char="F0B1"/>
      </w:r>
      <w:r>
        <w:rPr>
          <w:rFonts w:hint="eastAsia" w:eastAsia="宋体"/>
          <w:sz w:val="22"/>
          <w:lang w:val="en-US" w:eastAsia="zh-CN"/>
        </w:rPr>
        <w:t>Te. Thus the error introduced by UE specific TA calculation should be considered into Te.</w:t>
      </w:r>
    </w:p>
    <w:p>
      <w:pPr>
        <w:keepNext w:val="0"/>
        <w:keepLines w:val="0"/>
        <w:pageBreakBefore w:val="0"/>
        <w:widowControl/>
        <w:kinsoku/>
        <w:wordWrap/>
        <w:overflowPunct/>
        <w:topLinePunct w:val="0"/>
        <w:autoSpaceDE/>
        <w:autoSpaceDN/>
        <w:bidi w:val="0"/>
        <w:adjustRightInd/>
        <w:snapToGrid/>
        <w:spacing w:before="181" w:beforeLines="50" w:line="260" w:lineRule="auto"/>
        <w:textAlignment w:val="auto"/>
        <w:rPr>
          <w:rFonts w:hint="default" w:eastAsia="宋体"/>
          <w:sz w:val="22"/>
          <w:lang w:val="en-US" w:eastAsia="zh-CN"/>
        </w:rPr>
      </w:pPr>
      <w:r>
        <w:rPr>
          <w:rFonts w:hint="eastAsia" w:eastAsia="宋体"/>
          <w:b/>
          <w:bCs/>
          <w:sz w:val="22"/>
          <w:lang w:val="en-US" w:eastAsia="zh-CN"/>
        </w:rPr>
        <w:t>Proposal 2: RAN4 treats UE specific TA calculation error as one of the contributions to transmission timing error.</w:t>
      </w:r>
    </w:p>
    <w:p>
      <w:pPr>
        <w:rPr>
          <w:rFonts w:hint="default" w:eastAsia="宋体"/>
          <w:sz w:val="22"/>
          <w:lang w:val="en-US" w:eastAsia="zh-CN"/>
        </w:rPr>
      </w:pPr>
    </w:p>
    <w:p>
      <w:pPr>
        <w:pStyle w:val="29"/>
        <w:jc w:val="both"/>
      </w:pPr>
      <w:r>
        <w:rPr>
          <w:rFonts w:hint="eastAsia"/>
          <w:lang w:val="en-US" w:eastAsia="zh-CN"/>
        </w:rPr>
        <w:t>3</w:t>
      </w:r>
      <w:r>
        <w:tab/>
      </w:r>
      <w:r>
        <w:t>Conclusion</w:t>
      </w:r>
    </w:p>
    <w:p>
      <w:pPr>
        <w:rPr>
          <w:rFonts w:hint="eastAsia" w:eastAsia="宋体"/>
          <w:b/>
          <w:bCs/>
          <w:sz w:val="22"/>
          <w:lang w:val="en-US" w:eastAsia="zh-CN"/>
        </w:rPr>
      </w:pPr>
      <w:r>
        <w:rPr>
          <w:rFonts w:hint="eastAsia" w:eastAsia="宋体"/>
          <w:b/>
          <w:bCs/>
          <w:sz w:val="22"/>
          <w:lang w:val="en-US" w:eastAsia="zh-CN"/>
        </w:rPr>
        <w:t xml:space="preserve">Observation 1: It is observed that reference point placed at gNB is </w:t>
      </w:r>
      <w:r>
        <w:rPr>
          <w:rFonts w:hint="default" w:eastAsia="宋体"/>
          <w:b/>
          <w:bCs/>
          <w:sz w:val="22"/>
          <w:lang w:val="en-US" w:eastAsia="zh-CN"/>
        </w:rPr>
        <w:t>consistent</w:t>
      </w:r>
      <w:r>
        <w:rPr>
          <w:rFonts w:hint="eastAsia" w:eastAsia="宋体"/>
          <w:b/>
          <w:bCs/>
          <w:sz w:val="22"/>
          <w:lang w:val="en-US" w:eastAsia="zh-CN"/>
        </w:rPr>
        <w:t xml:space="preserve"> with the current NR baseline of TA mechanism. </w:t>
      </w:r>
    </w:p>
    <w:p>
      <w:pPr>
        <w:rPr>
          <w:rFonts w:hint="default" w:eastAsia="宋体"/>
          <w:b/>
          <w:bCs/>
          <w:sz w:val="22"/>
          <w:lang w:val="en-US" w:eastAsia="zh-CN"/>
        </w:rPr>
      </w:pPr>
      <w:r>
        <w:rPr>
          <w:rFonts w:hint="eastAsia" w:eastAsia="宋体"/>
          <w:b/>
          <w:bCs/>
          <w:sz w:val="22"/>
          <w:lang w:val="en-US" w:eastAsia="zh-CN"/>
        </w:rPr>
        <w:t>Observation 2: Reference point placed at gNB could minimize the specification impact and BS implementation complexity.</w:t>
      </w:r>
    </w:p>
    <w:p>
      <w:pPr>
        <w:rPr>
          <w:rFonts w:hint="default" w:eastAsia="宋体"/>
          <w:b/>
          <w:bCs/>
          <w:sz w:val="22"/>
          <w:lang w:val="en-US" w:eastAsia="zh-CN"/>
        </w:rPr>
      </w:pPr>
      <w:r>
        <w:rPr>
          <w:rFonts w:hint="eastAsia" w:eastAsia="宋体"/>
          <w:b/>
          <w:bCs/>
          <w:sz w:val="22"/>
          <w:lang w:val="en-US" w:eastAsia="zh-CN"/>
        </w:rPr>
        <w:t xml:space="preserve">Proposal 1: Reference point at gNB is supported as the baseline for RAN4 to investigate the impact on RRM requirements of NTN system. </w:t>
      </w:r>
    </w:p>
    <w:p>
      <w:pPr>
        <w:keepNext w:val="0"/>
        <w:keepLines w:val="0"/>
        <w:pageBreakBefore w:val="0"/>
        <w:widowControl/>
        <w:kinsoku/>
        <w:wordWrap/>
        <w:overflowPunct/>
        <w:topLinePunct w:val="0"/>
        <w:autoSpaceDE/>
        <w:autoSpaceDN/>
        <w:bidi w:val="0"/>
        <w:adjustRightInd/>
        <w:snapToGrid/>
        <w:spacing w:before="181" w:beforeLines="50" w:line="260" w:lineRule="auto"/>
        <w:textAlignment w:val="auto"/>
        <w:rPr>
          <w:rFonts w:hint="default" w:eastAsia="宋体"/>
          <w:sz w:val="22"/>
          <w:lang w:val="en-US" w:eastAsia="zh-CN"/>
        </w:rPr>
      </w:pPr>
      <w:r>
        <w:rPr>
          <w:rFonts w:hint="eastAsia" w:eastAsia="宋体"/>
          <w:b/>
          <w:bCs/>
          <w:sz w:val="22"/>
          <w:lang w:val="en-US" w:eastAsia="zh-CN"/>
        </w:rPr>
        <w:t>Proposal 2: RAN4 treats UE specific TA calculation error as one of the contributions to transmission timing error.</w:t>
      </w:r>
    </w:p>
    <w:p>
      <w:pPr>
        <w:pStyle w:val="29"/>
        <w:jc w:val="both"/>
      </w:pPr>
      <w:r>
        <w:t>References</w:t>
      </w:r>
    </w:p>
    <w:p>
      <w:pPr>
        <w:numPr>
          <w:ilvl w:val="0"/>
          <w:numId w:val="8"/>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R4-2103680</w:t>
      </w:r>
      <w:r>
        <w:rPr>
          <w:rFonts w:hint="eastAsia" w:eastAsia="宋体"/>
          <w:lang w:val="en-US" w:eastAsia="zh-CN"/>
        </w:rPr>
        <w:t xml:space="preserve">, </w:t>
      </w:r>
      <w:r>
        <w:rPr>
          <w:rFonts w:hint="eastAsia" w:eastAsia="宋体"/>
          <w:lang w:eastAsia="zh-CN"/>
        </w:rPr>
        <w:t>Way Forward on NR NTN RRM requirements</w:t>
      </w:r>
    </w:p>
    <w:p>
      <w:pPr>
        <w:numPr>
          <w:ilvl w:val="0"/>
          <w:numId w:val="8"/>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eastAsia="zh-CN"/>
        </w:rPr>
        <w:t>R4-2103681</w:t>
      </w:r>
      <w:r>
        <w:rPr>
          <w:rFonts w:hint="eastAsia" w:eastAsia="宋体"/>
          <w:lang w:val="en-US" w:eastAsia="zh-CN"/>
        </w:rPr>
        <w:t>, WF on NTN RRM timing related requirements</w:t>
      </w:r>
    </w:p>
    <w:p>
      <w:pPr>
        <w:numPr>
          <w:ilvl w:val="0"/>
          <w:numId w:val="8"/>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eastAsia="zh-CN"/>
        </w:rPr>
        <w:t>RP-201256</w:t>
      </w:r>
      <w:r>
        <w:rPr>
          <w:rFonts w:hint="eastAsia" w:eastAsia="宋体"/>
          <w:lang w:val="en-US" w:eastAsia="zh-CN"/>
        </w:rPr>
        <w:t xml:space="preserve">, </w:t>
      </w:r>
      <w:r>
        <w:rPr>
          <w:rFonts w:hint="eastAsia" w:eastAsia="宋体"/>
          <w:lang w:eastAsia="zh-CN"/>
        </w:rPr>
        <w:t>WID NR-NTN_for Rel-17</w:t>
      </w:r>
    </w:p>
    <w:p>
      <w:pPr>
        <w:numPr>
          <w:ilvl w:val="0"/>
          <w:numId w:val="8"/>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eastAsia="zh-CN"/>
        </w:rPr>
        <w:t>3GPP TSG RAN WG1 Meeting #104-e</w:t>
      </w:r>
      <w:r>
        <w:rPr>
          <w:rFonts w:hint="eastAsia" w:eastAsia="宋体"/>
          <w:lang w:val="en-US" w:eastAsia="zh-CN"/>
        </w:rPr>
        <w:t>, RAN1 Chairman</w:t>
      </w:r>
      <w:r>
        <w:rPr>
          <w:rFonts w:hint="default" w:eastAsia="宋体"/>
          <w:lang w:val="en-US" w:eastAsia="zh-CN"/>
        </w:rPr>
        <w:t>’</w:t>
      </w:r>
      <w:r>
        <w:rPr>
          <w:rFonts w:hint="eastAsia" w:eastAsia="宋体"/>
          <w:lang w:val="en-US" w:eastAsia="zh-CN"/>
        </w:rPr>
        <w:t>s Notes</w:t>
      </w: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72896E0"/>
    <w:multiLevelType w:val="multilevel"/>
    <w:tmpl w:val="472896E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5"/>
  </w:num>
  <w:num w:numId="3">
    <w:abstractNumId w:val="4"/>
  </w:num>
  <w:num w:numId="4">
    <w:abstractNumId w:val="7"/>
  </w:num>
  <w:num w:numId="5">
    <w:abstractNumId w:val="6"/>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4D65AB"/>
    <w:rsid w:val="016E368C"/>
    <w:rsid w:val="017B5E4B"/>
    <w:rsid w:val="018D054D"/>
    <w:rsid w:val="01D71285"/>
    <w:rsid w:val="01FF08B3"/>
    <w:rsid w:val="028676F2"/>
    <w:rsid w:val="02B274E2"/>
    <w:rsid w:val="02BD7990"/>
    <w:rsid w:val="02C25D33"/>
    <w:rsid w:val="030809EC"/>
    <w:rsid w:val="039A1BDA"/>
    <w:rsid w:val="03AE4991"/>
    <w:rsid w:val="03C6506D"/>
    <w:rsid w:val="03F37217"/>
    <w:rsid w:val="041F4676"/>
    <w:rsid w:val="047B40B2"/>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80A5373"/>
    <w:rsid w:val="085564A9"/>
    <w:rsid w:val="08641205"/>
    <w:rsid w:val="0868025F"/>
    <w:rsid w:val="0873226E"/>
    <w:rsid w:val="08935729"/>
    <w:rsid w:val="08AF3F5E"/>
    <w:rsid w:val="08C654D4"/>
    <w:rsid w:val="08CC5D10"/>
    <w:rsid w:val="092C45E6"/>
    <w:rsid w:val="099F556C"/>
    <w:rsid w:val="09AC0546"/>
    <w:rsid w:val="09C640C3"/>
    <w:rsid w:val="0A2F63A3"/>
    <w:rsid w:val="0A5763D4"/>
    <w:rsid w:val="0A7BF868"/>
    <w:rsid w:val="0A9573F8"/>
    <w:rsid w:val="0B206A21"/>
    <w:rsid w:val="0B7322DC"/>
    <w:rsid w:val="0BB77882"/>
    <w:rsid w:val="0C102F73"/>
    <w:rsid w:val="0C2A1653"/>
    <w:rsid w:val="0C3145B0"/>
    <w:rsid w:val="0C3C5307"/>
    <w:rsid w:val="0C56263C"/>
    <w:rsid w:val="0C5E2B8A"/>
    <w:rsid w:val="0D102274"/>
    <w:rsid w:val="0DA958CA"/>
    <w:rsid w:val="0DF104D3"/>
    <w:rsid w:val="0E1C586B"/>
    <w:rsid w:val="0E8A024B"/>
    <w:rsid w:val="0ED138E6"/>
    <w:rsid w:val="0F130B06"/>
    <w:rsid w:val="0F3856C4"/>
    <w:rsid w:val="0F4C5F28"/>
    <w:rsid w:val="0F67780F"/>
    <w:rsid w:val="0F8F3C2A"/>
    <w:rsid w:val="0F9F5663"/>
    <w:rsid w:val="0FB648CB"/>
    <w:rsid w:val="0FD0731A"/>
    <w:rsid w:val="0FF1533A"/>
    <w:rsid w:val="0FFE0AFA"/>
    <w:rsid w:val="1000683B"/>
    <w:rsid w:val="10732202"/>
    <w:rsid w:val="10860ED5"/>
    <w:rsid w:val="10AA3C13"/>
    <w:rsid w:val="10CA41CF"/>
    <w:rsid w:val="10CD0B75"/>
    <w:rsid w:val="110C4D24"/>
    <w:rsid w:val="11283655"/>
    <w:rsid w:val="113B0066"/>
    <w:rsid w:val="114A4434"/>
    <w:rsid w:val="11F71F3A"/>
    <w:rsid w:val="121A2A50"/>
    <w:rsid w:val="122017FC"/>
    <w:rsid w:val="12432F43"/>
    <w:rsid w:val="124B5A34"/>
    <w:rsid w:val="12753179"/>
    <w:rsid w:val="128409CA"/>
    <w:rsid w:val="12843280"/>
    <w:rsid w:val="12BB3A94"/>
    <w:rsid w:val="12EF585C"/>
    <w:rsid w:val="12FB3877"/>
    <w:rsid w:val="13262572"/>
    <w:rsid w:val="13516C3B"/>
    <w:rsid w:val="135A35EB"/>
    <w:rsid w:val="136D11EC"/>
    <w:rsid w:val="137D50D6"/>
    <w:rsid w:val="138845FC"/>
    <w:rsid w:val="139B3B65"/>
    <w:rsid w:val="13A62830"/>
    <w:rsid w:val="13D36053"/>
    <w:rsid w:val="13F75352"/>
    <w:rsid w:val="13FA5349"/>
    <w:rsid w:val="141E7377"/>
    <w:rsid w:val="1480544B"/>
    <w:rsid w:val="148A292B"/>
    <w:rsid w:val="14A25B1A"/>
    <w:rsid w:val="14B36B91"/>
    <w:rsid w:val="14BF6AA8"/>
    <w:rsid w:val="14D9405F"/>
    <w:rsid w:val="14DE3D1B"/>
    <w:rsid w:val="15DD3861"/>
    <w:rsid w:val="16222725"/>
    <w:rsid w:val="162900B5"/>
    <w:rsid w:val="1634239A"/>
    <w:rsid w:val="16394032"/>
    <w:rsid w:val="164F667E"/>
    <w:rsid w:val="165D0583"/>
    <w:rsid w:val="16654289"/>
    <w:rsid w:val="16AE4BFB"/>
    <w:rsid w:val="16BA6C12"/>
    <w:rsid w:val="16CB37AF"/>
    <w:rsid w:val="16DB79C9"/>
    <w:rsid w:val="16F55CC6"/>
    <w:rsid w:val="17141F2D"/>
    <w:rsid w:val="176F5C05"/>
    <w:rsid w:val="17705930"/>
    <w:rsid w:val="17A076C4"/>
    <w:rsid w:val="17A62BCE"/>
    <w:rsid w:val="17E12498"/>
    <w:rsid w:val="17E826AB"/>
    <w:rsid w:val="18407C50"/>
    <w:rsid w:val="1872258F"/>
    <w:rsid w:val="18D3414F"/>
    <w:rsid w:val="18D91924"/>
    <w:rsid w:val="19831412"/>
    <w:rsid w:val="19A96435"/>
    <w:rsid w:val="19E43A3D"/>
    <w:rsid w:val="1A0B3A21"/>
    <w:rsid w:val="1A352FE3"/>
    <w:rsid w:val="1A7F0493"/>
    <w:rsid w:val="1B3329B5"/>
    <w:rsid w:val="1B595D85"/>
    <w:rsid w:val="1B7F155B"/>
    <w:rsid w:val="1BAE2A00"/>
    <w:rsid w:val="1C1B0DC7"/>
    <w:rsid w:val="1C5E2F54"/>
    <w:rsid w:val="1CA0799D"/>
    <w:rsid w:val="1CAE294B"/>
    <w:rsid w:val="1CDA242C"/>
    <w:rsid w:val="1CFB2AC1"/>
    <w:rsid w:val="1D1F1294"/>
    <w:rsid w:val="1D85535E"/>
    <w:rsid w:val="1DB227A6"/>
    <w:rsid w:val="1DB41841"/>
    <w:rsid w:val="1DCF39D2"/>
    <w:rsid w:val="1DE45821"/>
    <w:rsid w:val="1DF64986"/>
    <w:rsid w:val="1E5E1170"/>
    <w:rsid w:val="1E8806BC"/>
    <w:rsid w:val="1EA137E3"/>
    <w:rsid w:val="1EC97F44"/>
    <w:rsid w:val="1F0936F5"/>
    <w:rsid w:val="1F1706DE"/>
    <w:rsid w:val="1F17474D"/>
    <w:rsid w:val="1F2B10F9"/>
    <w:rsid w:val="1F711839"/>
    <w:rsid w:val="1F8A172B"/>
    <w:rsid w:val="1FA564C4"/>
    <w:rsid w:val="200D067C"/>
    <w:rsid w:val="20811B82"/>
    <w:rsid w:val="20941E02"/>
    <w:rsid w:val="20A662B2"/>
    <w:rsid w:val="21091739"/>
    <w:rsid w:val="211451D0"/>
    <w:rsid w:val="211B0B99"/>
    <w:rsid w:val="21402B64"/>
    <w:rsid w:val="2151075A"/>
    <w:rsid w:val="2187422D"/>
    <w:rsid w:val="219E74A3"/>
    <w:rsid w:val="22271C95"/>
    <w:rsid w:val="22450C21"/>
    <w:rsid w:val="22571B82"/>
    <w:rsid w:val="22843CEF"/>
    <w:rsid w:val="22920D1D"/>
    <w:rsid w:val="22C0245E"/>
    <w:rsid w:val="22DF0545"/>
    <w:rsid w:val="23514077"/>
    <w:rsid w:val="23855295"/>
    <w:rsid w:val="23B20773"/>
    <w:rsid w:val="23CF6D67"/>
    <w:rsid w:val="23E92C0B"/>
    <w:rsid w:val="241F6375"/>
    <w:rsid w:val="248F188B"/>
    <w:rsid w:val="24BD0518"/>
    <w:rsid w:val="24E91488"/>
    <w:rsid w:val="25077EC5"/>
    <w:rsid w:val="256A021C"/>
    <w:rsid w:val="25962669"/>
    <w:rsid w:val="25C20278"/>
    <w:rsid w:val="25C545AD"/>
    <w:rsid w:val="262D62D9"/>
    <w:rsid w:val="26681CAB"/>
    <w:rsid w:val="267E5FCE"/>
    <w:rsid w:val="26F618C3"/>
    <w:rsid w:val="27016D1C"/>
    <w:rsid w:val="27572E0B"/>
    <w:rsid w:val="2762235C"/>
    <w:rsid w:val="276537E8"/>
    <w:rsid w:val="27BE3159"/>
    <w:rsid w:val="28062AB3"/>
    <w:rsid w:val="280C272A"/>
    <w:rsid w:val="281B6C69"/>
    <w:rsid w:val="284E33F7"/>
    <w:rsid w:val="287A3770"/>
    <w:rsid w:val="28C759BF"/>
    <w:rsid w:val="290A138C"/>
    <w:rsid w:val="291A4010"/>
    <w:rsid w:val="293606FA"/>
    <w:rsid w:val="29517179"/>
    <w:rsid w:val="29582436"/>
    <w:rsid w:val="29E7086A"/>
    <w:rsid w:val="2A0E25C0"/>
    <w:rsid w:val="2A1219AD"/>
    <w:rsid w:val="2A394321"/>
    <w:rsid w:val="2AAF72F6"/>
    <w:rsid w:val="2AE26D3F"/>
    <w:rsid w:val="2AF125AB"/>
    <w:rsid w:val="2AF8774D"/>
    <w:rsid w:val="2B0F6E62"/>
    <w:rsid w:val="2B1B7C39"/>
    <w:rsid w:val="2B3F4136"/>
    <w:rsid w:val="2B5F7B9D"/>
    <w:rsid w:val="2B6F3DB4"/>
    <w:rsid w:val="2B7579C5"/>
    <w:rsid w:val="2BB04900"/>
    <w:rsid w:val="2BB1476B"/>
    <w:rsid w:val="2C1B2490"/>
    <w:rsid w:val="2C3757DB"/>
    <w:rsid w:val="2C3A3275"/>
    <w:rsid w:val="2C495744"/>
    <w:rsid w:val="2CA40E82"/>
    <w:rsid w:val="2CEE6B8D"/>
    <w:rsid w:val="2D233DAE"/>
    <w:rsid w:val="2D8E403A"/>
    <w:rsid w:val="2DC51DB6"/>
    <w:rsid w:val="2DF9626C"/>
    <w:rsid w:val="2DFD7A78"/>
    <w:rsid w:val="2E145F76"/>
    <w:rsid w:val="2E3E3E00"/>
    <w:rsid w:val="2E8501BE"/>
    <w:rsid w:val="2EA86D09"/>
    <w:rsid w:val="2ECE747D"/>
    <w:rsid w:val="2F32226B"/>
    <w:rsid w:val="2F376D10"/>
    <w:rsid w:val="2FA231C5"/>
    <w:rsid w:val="30266CFB"/>
    <w:rsid w:val="30775A8C"/>
    <w:rsid w:val="308B65F2"/>
    <w:rsid w:val="30A9337F"/>
    <w:rsid w:val="30F5782F"/>
    <w:rsid w:val="3117229F"/>
    <w:rsid w:val="31395268"/>
    <w:rsid w:val="316D08AD"/>
    <w:rsid w:val="3197247E"/>
    <w:rsid w:val="31A50177"/>
    <w:rsid w:val="31DD775A"/>
    <w:rsid w:val="31ED10C9"/>
    <w:rsid w:val="320F0A18"/>
    <w:rsid w:val="32351CB2"/>
    <w:rsid w:val="324554E5"/>
    <w:rsid w:val="325D2B5A"/>
    <w:rsid w:val="327661FC"/>
    <w:rsid w:val="32B33B5A"/>
    <w:rsid w:val="32E16FE7"/>
    <w:rsid w:val="32EE27B2"/>
    <w:rsid w:val="33372789"/>
    <w:rsid w:val="33373161"/>
    <w:rsid w:val="333876C2"/>
    <w:rsid w:val="33484A1E"/>
    <w:rsid w:val="335F47E9"/>
    <w:rsid w:val="33FB17D8"/>
    <w:rsid w:val="34693A6E"/>
    <w:rsid w:val="346E4104"/>
    <w:rsid w:val="3476470C"/>
    <w:rsid w:val="34D83C16"/>
    <w:rsid w:val="34F42A3D"/>
    <w:rsid w:val="3509315E"/>
    <w:rsid w:val="351A4CC6"/>
    <w:rsid w:val="371440A5"/>
    <w:rsid w:val="37705F34"/>
    <w:rsid w:val="377700B0"/>
    <w:rsid w:val="37857872"/>
    <w:rsid w:val="379C48BE"/>
    <w:rsid w:val="37AF7036"/>
    <w:rsid w:val="380927B5"/>
    <w:rsid w:val="381F0B0E"/>
    <w:rsid w:val="382139EC"/>
    <w:rsid w:val="3876150B"/>
    <w:rsid w:val="38D03C78"/>
    <w:rsid w:val="38EF03A6"/>
    <w:rsid w:val="38F0125F"/>
    <w:rsid w:val="3900577A"/>
    <w:rsid w:val="392739EA"/>
    <w:rsid w:val="392D38AD"/>
    <w:rsid w:val="3946679B"/>
    <w:rsid w:val="394D1646"/>
    <w:rsid w:val="399A43EA"/>
    <w:rsid w:val="3A0F1960"/>
    <w:rsid w:val="3A166029"/>
    <w:rsid w:val="3A431070"/>
    <w:rsid w:val="3A6B6F88"/>
    <w:rsid w:val="3A977F34"/>
    <w:rsid w:val="3AC125B3"/>
    <w:rsid w:val="3AF216E5"/>
    <w:rsid w:val="3B0B15C3"/>
    <w:rsid w:val="3B30671A"/>
    <w:rsid w:val="3B5555F7"/>
    <w:rsid w:val="3B5662AC"/>
    <w:rsid w:val="3B981241"/>
    <w:rsid w:val="3BBB2E68"/>
    <w:rsid w:val="3C8823DF"/>
    <w:rsid w:val="3C9D0254"/>
    <w:rsid w:val="3C9F5B7F"/>
    <w:rsid w:val="3CC5729E"/>
    <w:rsid w:val="3CCE203C"/>
    <w:rsid w:val="3D087EC6"/>
    <w:rsid w:val="3D0C1655"/>
    <w:rsid w:val="3D4E48C8"/>
    <w:rsid w:val="3D50421B"/>
    <w:rsid w:val="3D77737D"/>
    <w:rsid w:val="3D807C08"/>
    <w:rsid w:val="3DBF5349"/>
    <w:rsid w:val="3DC04E13"/>
    <w:rsid w:val="3DCC0A6F"/>
    <w:rsid w:val="3DD244E7"/>
    <w:rsid w:val="3E132617"/>
    <w:rsid w:val="3E1747FA"/>
    <w:rsid w:val="3E2E7EE8"/>
    <w:rsid w:val="3E5B41D6"/>
    <w:rsid w:val="3E964B98"/>
    <w:rsid w:val="3EAD26A1"/>
    <w:rsid w:val="3ECE16FA"/>
    <w:rsid w:val="3F3542FD"/>
    <w:rsid w:val="3F4118C8"/>
    <w:rsid w:val="3F5C676A"/>
    <w:rsid w:val="3F651AFB"/>
    <w:rsid w:val="3FF55768"/>
    <w:rsid w:val="40093B4F"/>
    <w:rsid w:val="40350A49"/>
    <w:rsid w:val="40460408"/>
    <w:rsid w:val="40462AC9"/>
    <w:rsid w:val="40566CBF"/>
    <w:rsid w:val="40662F6F"/>
    <w:rsid w:val="40776BAF"/>
    <w:rsid w:val="407921CE"/>
    <w:rsid w:val="40C04FE0"/>
    <w:rsid w:val="418530B3"/>
    <w:rsid w:val="41AA7137"/>
    <w:rsid w:val="41EC58FB"/>
    <w:rsid w:val="41F931F1"/>
    <w:rsid w:val="42157286"/>
    <w:rsid w:val="422A484C"/>
    <w:rsid w:val="422A51CF"/>
    <w:rsid w:val="4231331F"/>
    <w:rsid w:val="42381A71"/>
    <w:rsid w:val="426B0C9E"/>
    <w:rsid w:val="42841694"/>
    <w:rsid w:val="429266C7"/>
    <w:rsid w:val="42AF1322"/>
    <w:rsid w:val="42B30ACF"/>
    <w:rsid w:val="42D25CAE"/>
    <w:rsid w:val="42E73C10"/>
    <w:rsid w:val="43364422"/>
    <w:rsid w:val="43536857"/>
    <w:rsid w:val="43BB7215"/>
    <w:rsid w:val="43BC4F26"/>
    <w:rsid w:val="43EE582E"/>
    <w:rsid w:val="43FB3DA4"/>
    <w:rsid w:val="441C4006"/>
    <w:rsid w:val="44752C18"/>
    <w:rsid w:val="449E489D"/>
    <w:rsid w:val="44B24294"/>
    <w:rsid w:val="44CF520F"/>
    <w:rsid w:val="44D50483"/>
    <w:rsid w:val="451019FB"/>
    <w:rsid w:val="451B2715"/>
    <w:rsid w:val="45361837"/>
    <w:rsid w:val="4543370D"/>
    <w:rsid w:val="455B13AC"/>
    <w:rsid w:val="45CF3CD0"/>
    <w:rsid w:val="45F6393A"/>
    <w:rsid w:val="46037BDC"/>
    <w:rsid w:val="460567D8"/>
    <w:rsid w:val="4626023B"/>
    <w:rsid w:val="462F25DF"/>
    <w:rsid w:val="46620161"/>
    <w:rsid w:val="46C17C69"/>
    <w:rsid w:val="46E63986"/>
    <w:rsid w:val="46FC7DAE"/>
    <w:rsid w:val="470463F8"/>
    <w:rsid w:val="47971B97"/>
    <w:rsid w:val="479F63EE"/>
    <w:rsid w:val="47C304FD"/>
    <w:rsid w:val="47C357A6"/>
    <w:rsid w:val="47D77F02"/>
    <w:rsid w:val="4815186D"/>
    <w:rsid w:val="481C0488"/>
    <w:rsid w:val="485A4BA7"/>
    <w:rsid w:val="487C3875"/>
    <w:rsid w:val="48977283"/>
    <w:rsid w:val="48A90F1E"/>
    <w:rsid w:val="48FA3778"/>
    <w:rsid w:val="4975258C"/>
    <w:rsid w:val="49896512"/>
    <w:rsid w:val="4996414B"/>
    <w:rsid w:val="49987D21"/>
    <w:rsid w:val="49BA3D71"/>
    <w:rsid w:val="49CC5B3C"/>
    <w:rsid w:val="49FD54E4"/>
    <w:rsid w:val="4A3011C6"/>
    <w:rsid w:val="4A5C70F1"/>
    <w:rsid w:val="4AAD275D"/>
    <w:rsid w:val="4AB61A05"/>
    <w:rsid w:val="4AF26B9D"/>
    <w:rsid w:val="4B2B1C31"/>
    <w:rsid w:val="4B48494A"/>
    <w:rsid w:val="4B7E5274"/>
    <w:rsid w:val="4BB65435"/>
    <w:rsid w:val="4BCE1489"/>
    <w:rsid w:val="4BCE28BF"/>
    <w:rsid w:val="4BEA1EE4"/>
    <w:rsid w:val="4BF830BC"/>
    <w:rsid w:val="4C293566"/>
    <w:rsid w:val="4C2C1C2C"/>
    <w:rsid w:val="4C4E4313"/>
    <w:rsid w:val="4C553BEB"/>
    <w:rsid w:val="4C663381"/>
    <w:rsid w:val="4C723787"/>
    <w:rsid w:val="4C783FE1"/>
    <w:rsid w:val="4CF05EAC"/>
    <w:rsid w:val="4D102CB4"/>
    <w:rsid w:val="4D496F28"/>
    <w:rsid w:val="4D9E609E"/>
    <w:rsid w:val="4E0243C8"/>
    <w:rsid w:val="4E345636"/>
    <w:rsid w:val="4E652C5C"/>
    <w:rsid w:val="4E9105E7"/>
    <w:rsid w:val="4EB053BD"/>
    <w:rsid w:val="4ED84E86"/>
    <w:rsid w:val="4FBC6FAF"/>
    <w:rsid w:val="4FDC68F3"/>
    <w:rsid w:val="4FE74185"/>
    <w:rsid w:val="4FFF46BE"/>
    <w:rsid w:val="50005DA1"/>
    <w:rsid w:val="5041435B"/>
    <w:rsid w:val="50564CCA"/>
    <w:rsid w:val="505A1CB0"/>
    <w:rsid w:val="5090049B"/>
    <w:rsid w:val="509778C7"/>
    <w:rsid w:val="5170523B"/>
    <w:rsid w:val="51773E2A"/>
    <w:rsid w:val="519A116B"/>
    <w:rsid w:val="51A40397"/>
    <w:rsid w:val="51C53170"/>
    <w:rsid w:val="5280421D"/>
    <w:rsid w:val="52BF27F0"/>
    <w:rsid w:val="530F6914"/>
    <w:rsid w:val="535E62F0"/>
    <w:rsid w:val="5361709F"/>
    <w:rsid w:val="53705401"/>
    <w:rsid w:val="537509F0"/>
    <w:rsid w:val="53752E8D"/>
    <w:rsid w:val="53832E83"/>
    <w:rsid w:val="53A24A91"/>
    <w:rsid w:val="53AA30EC"/>
    <w:rsid w:val="53D005D1"/>
    <w:rsid w:val="540D782C"/>
    <w:rsid w:val="542F1421"/>
    <w:rsid w:val="54342D0E"/>
    <w:rsid w:val="543973F0"/>
    <w:rsid w:val="543B3AF3"/>
    <w:rsid w:val="544B51D2"/>
    <w:rsid w:val="546C32BA"/>
    <w:rsid w:val="547733F4"/>
    <w:rsid w:val="54B156BA"/>
    <w:rsid w:val="54F516DC"/>
    <w:rsid w:val="550D509F"/>
    <w:rsid w:val="5553143F"/>
    <w:rsid w:val="55B42DC5"/>
    <w:rsid w:val="55C82763"/>
    <w:rsid w:val="55CE50F9"/>
    <w:rsid w:val="56063D06"/>
    <w:rsid w:val="561E43E8"/>
    <w:rsid w:val="56243301"/>
    <w:rsid w:val="567B20DA"/>
    <w:rsid w:val="56943FE8"/>
    <w:rsid w:val="56DA5A5F"/>
    <w:rsid w:val="57563E7B"/>
    <w:rsid w:val="57600E00"/>
    <w:rsid w:val="577E3F1D"/>
    <w:rsid w:val="57C70008"/>
    <w:rsid w:val="586B2608"/>
    <w:rsid w:val="5879595C"/>
    <w:rsid w:val="588331BE"/>
    <w:rsid w:val="58D16F7B"/>
    <w:rsid w:val="592D7AE2"/>
    <w:rsid w:val="593554F0"/>
    <w:rsid w:val="59BA5947"/>
    <w:rsid w:val="59F967B7"/>
    <w:rsid w:val="5A194DBF"/>
    <w:rsid w:val="5A3078C5"/>
    <w:rsid w:val="5A7A4DB9"/>
    <w:rsid w:val="5AC16AE9"/>
    <w:rsid w:val="5ADF3A74"/>
    <w:rsid w:val="5AE53367"/>
    <w:rsid w:val="5B0B0083"/>
    <w:rsid w:val="5B1254E6"/>
    <w:rsid w:val="5BC3228B"/>
    <w:rsid w:val="5BFC28DA"/>
    <w:rsid w:val="5C3B1FEA"/>
    <w:rsid w:val="5C6A01BF"/>
    <w:rsid w:val="5C792CC0"/>
    <w:rsid w:val="5CEB6783"/>
    <w:rsid w:val="5D041ECD"/>
    <w:rsid w:val="5D5E1AC8"/>
    <w:rsid w:val="5E051414"/>
    <w:rsid w:val="5E206741"/>
    <w:rsid w:val="5E2D4C21"/>
    <w:rsid w:val="5E820037"/>
    <w:rsid w:val="5EE41E2E"/>
    <w:rsid w:val="5F0F00DA"/>
    <w:rsid w:val="5F9F42F8"/>
    <w:rsid w:val="60017F85"/>
    <w:rsid w:val="60032276"/>
    <w:rsid w:val="600C3AE0"/>
    <w:rsid w:val="6045086B"/>
    <w:rsid w:val="607356CF"/>
    <w:rsid w:val="60745B63"/>
    <w:rsid w:val="60AC01F6"/>
    <w:rsid w:val="60BC1BBF"/>
    <w:rsid w:val="60E50451"/>
    <w:rsid w:val="60F55882"/>
    <w:rsid w:val="60F64A32"/>
    <w:rsid w:val="61051332"/>
    <w:rsid w:val="616A21E7"/>
    <w:rsid w:val="61856B0D"/>
    <w:rsid w:val="61B601DF"/>
    <w:rsid w:val="623928B9"/>
    <w:rsid w:val="62812953"/>
    <w:rsid w:val="62B7743E"/>
    <w:rsid w:val="62B8352F"/>
    <w:rsid w:val="62DD3C86"/>
    <w:rsid w:val="62EF63FA"/>
    <w:rsid w:val="63061571"/>
    <w:rsid w:val="632B39DC"/>
    <w:rsid w:val="639D47D1"/>
    <w:rsid w:val="63C84437"/>
    <w:rsid w:val="64116858"/>
    <w:rsid w:val="642B0065"/>
    <w:rsid w:val="64310139"/>
    <w:rsid w:val="64550D9E"/>
    <w:rsid w:val="648727EC"/>
    <w:rsid w:val="648D5222"/>
    <w:rsid w:val="649D0CB0"/>
    <w:rsid w:val="64B2258D"/>
    <w:rsid w:val="64DE359C"/>
    <w:rsid w:val="64E30C9E"/>
    <w:rsid w:val="64E86D2F"/>
    <w:rsid w:val="657C25FC"/>
    <w:rsid w:val="65997784"/>
    <w:rsid w:val="65A976E6"/>
    <w:rsid w:val="65C64C37"/>
    <w:rsid w:val="65D01190"/>
    <w:rsid w:val="66197BB5"/>
    <w:rsid w:val="66AB371C"/>
    <w:rsid w:val="66AE1192"/>
    <w:rsid w:val="66CA69C3"/>
    <w:rsid w:val="6749368B"/>
    <w:rsid w:val="6794708A"/>
    <w:rsid w:val="67CE0CE2"/>
    <w:rsid w:val="67DA4215"/>
    <w:rsid w:val="67E42DFA"/>
    <w:rsid w:val="67ED44CB"/>
    <w:rsid w:val="681D58BA"/>
    <w:rsid w:val="68EB3ADC"/>
    <w:rsid w:val="69240005"/>
    <w:rsid w:val="69462386"/>
    <w:rsid w:val="697206C8"/>
    <w:rsid w:val="698624ED"/>
    <w:rsid w:val="69C96ADD"/>
    <w:rsid w:val="69DC5A3B"/>
    <w:rsid w:val="69E50464"/>
    <w:rsid w:val="6A12713E"/>
    <w:rsid w:val="6A2F06BE"/>
    <w:rsid w:val="6A7016FE"/>
    <w:rsid w:val="6AFC6812"/>
    <w:rsid w:val="6B5E2EC6"/>
    <w:rsid w:val="6B7575DB"/>
    <w:rsid w:val="6C42065A"/>
    <w:rsid w:val="6C6F44FD"/>
    <w:rsid w:val="6C8C6D07"/>
    <w:rsid w:val="6C9E7796"/>
    <w:rsid w:val="6CB759F8"/>
    <w:rsid w:val="6CD4731D"/>
    <w:rsid w:val="6D121910"/>
    <w:rsid w:val="6D3205F0"/>
    <w:rsid w:val="6D4C048E"/>
    <w:rsid w:val="6D5C5991"/>
    <w:rsid w:val="6D681BA3"/>
    <w:rsid w:val="6D862B60"/>
    <w:rsid w:val="6DB702B4"/>
    <w:rsid w:val="6E4462CC"/>
    <w:rsid w:val="6E504618"/>
    <w:rsid w:val="6EB20078"/>
    <w:rsid w:val="6F5579D7"/>
    <w:rsid w:val="6F801AF8"/>
    <w:rsid w:val="6F8D5AAE"/>
    <w:rsid w:val="6FB57303"/>
    <w:rsid w:val="6FB7010B"/>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18185D"/>
    <w:rsid w:val="7322549D"/>
    <w:rsid w:val="7327462F"/>
    <w:rsid w:val="732F59FD"/>
    <w:rsid w:val="734B5574"/>
    <w:rsid w:val="7355417D"/>
    <w:rsid w:val="736C3FBB"/>
    <w:rsid w:val="73821201"/>
    <w:rsid w:val="73A85DC8"/>
    <w:rsid w:val="73C54686"/>
    <w:rsid w:val="73D14742"/>
    <w:rsid w:val="73E217DB"/>
    <w:rsid w:val="73ED43C1"/>
    <w:rsid w:val="740F6E24"/>
    <w:rsid w:val="741866C3"/>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6FC2715"/>
    <w:rsid w:val="7718204C"/>
    <w:rsid w:val="772E0626"/>
    <w:rsid w:val="7752184A"/>
    <w:rsid w:val="7754709D"/>
    <w:rsid w:val="776E285A"/>
    <w:rsid w:val="77B02D8D"/>
    <w:rsid w:val="77B23404"/>
    <w:rsid w:val="77C0093D"/>
    <w:rsid w:val="77C90B9C"/>
    <w:rsid w:val="77DB4D3A"/>
    <w:rsid w:val="77EF22D8"/>
    <w:rsid w:val="7811438D"/>
    <w:rsid w:val="78204380"/>
    <w:rsid w:val="78384CBC"/>
    <w:rsid w:val="784258BF"/>
    <w:rsid w:val="793758F2"/>
    <w:rsid w:val="79C0590F"/>
    <w:rsid w:val="7A080BBF"/>
    <w:rsid w:val="7A4F2396"/>
    <w:rsid w:val="7A787ECB"/>
    <w:rsid w:val="7A875FC6"/>
    <w:rsid w:val="7A8B51CB"/>
    <w:rsid w:val="7A984514"/>
    <w:rsid w:val="7AB507FA"/>
    <w:rsid w:val="7AC634CB"/>
    <w:rsid w:val="7ACB482C"/>
    <w:rsid w:val="7AE7260F"/>
    <w:rsid w:val="7AEB331B"/>
    <w:rsid w:val="7AF137EF"/>
    <w:rsid w:val="7B100283"/>
    <w:rsid w:val="7B2531D6"/>
    <w:rsid w:val="7B5B11D8"/>
    <w:rsid w:val="7C41564D"/>
    <w:rsid w:val="7C8E16C9"/>
    <w:rsid w:val="7C91123B"/>
    <w:rsid w:val="7CA10AF6"/>
    <w:rsid w:val="7CB561C0"/>
    <w:rsid w:val="7CCC277F"/>
    <w:rsid w:val="7CCD3BF4"/>
    <w:rsid w:val="7CE3033A"/>
    <w:rsid w:val="7D0A2590"/>
    <w:rsid w:val="7D550752"/>
    <w:rsid w:val="7D6A7A29"/>
    <w:rsid w:val="7D712B47"/>
    <w:rsid w:val="7DA0035E"/>
    <w:rsid w:val="7DCC5A45"/>
    <w:rsid w:val="7E630B4F"/>
    <w:rsid w:val="7E8B6D0C"/>
    <w:rsid w:val="7EFA29D7"/>
    <w:rsid w:val="7F285EA4"/>
    <w:rsid w:val="7F787EDB"/>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18">
    <w:name w:val="Default Paragraph Font"/>
    <w:semiHidden/>
    <w:unhideWhenUsed/>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60"/>
    <w:semiHidden/>
    <w:unhideWhenUsed/>
    <w:qFormat/>
    <w:uiPriority w:val="99"/>
    <w:rPr>
      <w:b/>
      <w:bCs/>
    </w:rPr>
  </w:style>
  <w:style w:type="paragraph" w:styleId="7">
    <w:name w:val="annotation text"/>
    <w:basedOn w:val="1"/>
    <w:link w:val="59"/>
    <w:semiHidden/>
    <w:unhideWhenUsed/>
    <w:qFormat/>
    <w:uiPriority w:val="99"/>
    <w:pPr>
      <w:spacing w:line="240" w:lineRule="auto"/>
    </w:pPr>
    <w:rPr>
      <w:szCs w:val="20"/>
    </w:rPr>
  </w:style>
  <w:style w:type="paragraph" w:styleId="8">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9">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3">
    <w:name w:val="header"/>
    <w:basedOn w:val="1"/>
    <w:link w:val="54"/>
    <w:semiHidden/>
    <w:unhideWhenUsed/>
    <w:qFormat/>
    <w:uiPriority w:val="0"/>
    <w:pPr>
      <w:widowControl w:val="0"/>
      <w:spacing w:after="0" w:line="240" w:lineRule="auto"/>
    </w:pPr>
    <w:rPr>
      <w:rFonts w:ascii="Tms Rmn" w:hAnsi="Tms Rmn"/>
      <w:b/>
      <w:sz w:val="18"/>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9">
    <w:name w:val="Strong"/>
    <w:basedOn w:val="18"/>
    <w:qFormat/>
    <w:uiPriority w:val="22"/>
    <w:rPr>
      <w:b/>
    </w:rPr>
  </w:style>
  <w:style w:type="character" w:styleId="20">
    <w:name w:val="FollowedHyperlink"/>
    <w:basedOn w:val="18"/>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8"/>
    <w:unhideWhenUsed/>
    <w:qFormat/>
    <w:uiPriority w:val="99"/>
    <w:rPr>
      <w:color w:val="0563C1" w:themeColor="hyperlink"/>
      <w:u w:val="single"/>
      <w14:textFill>
        <w14:solidFill>
          <w14:schemeClr w14:val="hlink"/>
        </w14:solidFill>
      </w14:textFill>
    </w:rPr>
  </w:style>
  <w:style w:type="character" w:styleId="22">
    <w:name w:val="annotation reference"/>
    <w:basedOn w:val="18"/>
    <w:semiHidden/>
    <w:unhideWhenUsed/>
    <w:qFormat/>
    <w:uiPriority w:val="99"/>
    <w:rPr>
      <w:sz w:val="16"/>
      <w:szCs w:val="16"/>
    </w:rPr>
  </w:style>
  <w:style w:type="table" w:styleId="24">
    <w:name w:val="Table Grid"/>
    <w:basedOn w:val="23"/>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5">
    <w:name w:val="标题 2 Char"/>
    <w:basedOn w:val="18"/>
    <w:link w:val="3"/>
    <w:qFormat/>
    <w:uiPriority w:val="0"/>
    <w:rPr>
      <w:rFonts w:ascii="Arial" w:hAnsi="Arial" w:eastAsia="Times New Roman" w:cs="Times New Roman"/>
      <w:sz w:val="32"/>
      <w:szCs w:val="20"/>
      <w:lang w:val="en-GB"/>
    </w:rPr>
  </w:style>
  <w:style w:type="character" w:customStyle="1" w:styleId="26">
    <w:name w:val="标题 1 Char"/>
    <w:basedOn w:val="18"/>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18"/>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18"/>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8"/>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18"/>
    <w:link w:val="8"/>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18"/>
    <w:semiHidden/>
    <w:unhideWhenUsed/>
    <w:qFormat/>
    <w:uiPriority w:val="99"/>
    <w:rPr>
      <w:color w:val="808080"/>
      <w:shd w:val="clear" w:color="auto" w:fill="E6E6E6"/>
    </w:rPr>
  </w:style>
  <w:style w:type="character" w:customStyle="1" w:styleId="44">
    <w:name w:val="标题 4 Char"/>
    <w:basedOn w:val="18"/>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18"/>
    <w:link w:val="9"/>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18"/>
    <w:link w:val="13"/>
    <w:semiHidden/>
    <w:qFormat/>
    <w:locked/>
    <w:uiPriority w:val="0"/>
    <w:rPr>
      <w:rFonts w:ascii="Tms Rmn" w:hAnsi="Tms Rmn"/>
      <w:b/>
      <w:sz w:val="18"/>
    </w:rPr>
  </w:style>
  <w:style w:type="character" w:customStyle="1" w:styleId="55">
    <w:name w:val="Header Char1"/>
    <w:basedOn w:val="18"/>
    <w:semiHidden/>
    <w:qFormat/>
    <w:uiPriority w:val="99"/>
    <w:rPr>
      <w:rFonts w:ascii="Times New Roman" w:hAnsi="Times New Roman"/>
      <w:sz w:val="20"/>
    </w:rPr>
  </w:style>
  <w:style w:type="character" w:customStyle="1" w:styleId="56">
    <w:name w:val="批注框文本 Char"/>
    <w:basedOn w:val="18"/>
    <w:link w:val="12"/>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18"/>
    <w:link w:val="7"/>
    <w:semiHidden/>
    <w:qFormat/>
    <w:uiPriority w:val="99"/>
    <w:rPr>
      <w:rFonts w:ascii="Times New Roman" w:hAnsi="Times New Roman"/>
      <w:sz w:val="20"/>
      <w:szCs w:val="20"/>
    </w:rPr>
  </w:style>
  <w:style w:type="character" w:customStyle="1" w:styleId="60">
    <w:name w:val="批注主题 Char"/>
    <w:basedOn w:val="59"/>
    <w:link w:val="6"/>
    <w:semiHidden/>
    <w:qFormat/>
    <w:uiPriority w:val="99"/>
    <w:rPr>
      <w:rFonts w:ascii="Times New Roman" w:hAnsi="Times New Roman"/>
      <w:b/>
      <w:bCs/>
      <w:sz w:val="20"/>
      <w:szCs w:val="20"/>
    </w:rPr>
  </w:style>
  <w:style w:type="paragraph" w:customStyle="1" w:styleId="61">
    <w:name w:val="3GPP Normal Text"/>
    <w:basedOn w:val="9"/>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17870EBA-560E-4E7C-A664-22A449C60D13}">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1</TotalTime>
  <ScaleCrop>false</ScaleCrop>
  <LinksUpToDate>false</LinksUpToDate>
  <CharactersWithSpaces>6393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ZTE</cp:lastModifiedBy>
  <cp:lastPrinted>2019-04-29T06:52:00Z</cp:lastPrinted>
  <dcterms:modified xsi:type="dcterms:W3CDTF">2021-04-02T01:40:12Z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2052-10.8.2.6613</vt:lpwstr>
  </property>
</Properties>
</file>